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BC" w:rsidRPr="002270EF" w:rsidRDefault="005379BC" w:rsidP="005379BC">
      <w:pPr>
        <w:jc w:val="center"/>
        <w:rPr>
          <w:sz w:val="24"/>
          <w:szCs w:val="24"/>
        </w:rPr>
      </w:pPr>
      <w:r w:rsidRPr="002270EF">
        <w:rPr>
          <w:sz w:val="24"/>
          <w:szCs w:val="24"/>
        </w:rPr>
        <w:t>РЕЗУЛЬТАТ АНКЕТИРОВАНИЯ.</w:t>
      </w:r>
    </w:p>
    <w:p w:rsidR="005379BC" w:rsidRPr="002270EF" w:rsidRDefault="005379BC" w:rsidP="005379BC">
      <w:pPr>
        <w:rPr>
          <w:sz w:val="24"/>
          <w:szCs w:val="24"/>
        </w:rPr>
      </w:pPr>
    </w:p>
    <w:p w:rsidR="005379BC" w:rsidRPr="002270EF" w:rsidRDefault="005379BC" w:rsidP="005379BC">
      <w:pPr>
        <w:spacing w:line="276" w:lineRule="auto"/>
        <w:ind w:firstLine="708"/>
        <w:jc w:val="both"/>
        <w:rPr>
          <w:sz w:val="24"/>
          <w:szCs w:val="24"/>
        </w:rPr>
      </w:pPr>
      <w:r w:rsidRPr="002270EF">
        <w:rPr>
          <w:sz w:val="24"/>
          <w:szCs w:val="24"/>
        </w:rPr>
        <w:t>При оценке уровня удовлетворенн</w:t>
      </w:r>
      <w:r w:rsidR="00002A6A">
        <w:rPr>
          <w:sz w:val="24"/>
          <w:szCs w:val="24"/>
        </w:rPr>
        <w:t>ости качеством оказания услуг  МКУК «СДК Новорождественского СПТР»</w:t>
      </w:r>
      <w:r w:rsidRPr="002270EF">
        <w:rPr>
          <w:sz w:val="24"/>
          <w:szCs w:val="24"/>
        </w:rPr>
        <w:t xml:space="preserve"> было проведено анкетирование получателей услуг. На вопросы анкеты ответили 5</w:t>
      </w:r>
      <w:r w:rsidR="00002A6A">
        <w:rPr>
          <w:sz w:val="24"/>
          <w:szCs w:val="24"/>
        </w:rPr>
        <w:t>0</w:t>
      </w:r>
      <w:r w:rsidRPr="002270EF">
        <w:rPr>
          <w:sz w:val="24"/>
          <w:szCs w:val="24"/>
        </w:rPr>
        <w:t xml:space="preserve"> посетителей. Интегральн</w:t>
      </w:r>
      <w:r w:rsidR="00002A6A">
        <w:rPr>
          <w:sz w:val="24"/>
          <w:szCs w:val="24"/>
        </w:rPr>
        <w:t xml:space="preserve">ое значение показателей равно </w:t>
      </w:r>
      <w:r w:rsidR="00927F54">
        <w:rPr>
          <w:sz w:val="24"/>
          <w:szCs w:val="24"/>
        </w:rPr>
        <w:t>111,62</w:t>
      </w:r>
      <w:r w:rsidRPr="002270EF">
        <w:rPr>
          <w:sz w:val="24"/>
          <w:szCs w:val="24"/>
        </w:rPr>
        <w:t xml:space="preserve"> балла. Результаты анкетирования даны в таблице.</w:t>
      </w:r>
    </w:p>
    <w:p w:rsidR="005379BC" w:rsidRPr="002270EF" w:rsidRDefault="005F27DA" w:rsidP="005F27DA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за 2017 год</w:t>
      </w:r>
      <w:bookmarkStart w:id="0" w:name="_GoBack"/>
      <w:bookmarkEnd w:id="0"/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25"/>
        <w:gridCol w:w="4189"/>
        <w:gridCol w:w="1681"/>
        <w:gridCol w:w="932"/>
        <w:gridCol w:w="1388"/>
        <w:gridCol w:w="1103"/>
      </w:tblGrid>
      <w:tr w:rsidR="005379BC" w:rsidRPr="002270EF" w:rsidTr="00250275">
        <w:trPr>
          <w:trHeight w:val="276"/>
          <w:tblHeader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Варианты отве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тов на вопросы, при изучении мне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ний получателей услуг</w:t>
            </w:r>
          </w:p>
        </w:tc>
        <w:tc>
          <w:tcPr>
            <w:tcW w:w="1681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Сумма баллов по каждому варианту ответов 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Сумма баллов по каж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дому во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просу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Количе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 xml:space="preserve">ство </w:t>
            </w:r>
            <w:proofErr w:type="gramStart"/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от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ветив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ших</w:t>
            </w:r>
            <w:proofErr w:type="gramEnd"/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Средняя оценка по во</w:t>
            </w:r>
            <w:r w:rsidRPr="002270E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просу</w:t>
            </w:r>
          </w:p>
        </w:tc>
      </w:tr>
      <w:tr w:rsidR="005379BC" w:rsidRPr="002270EF" w:rsidTr="00250275">
        <w:trPr>
          <w:trHeight w:val="1447"/>
          <w:tblHeader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C05617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C05617" w:rsidRDefault="00927F54" w:rsidP="00C056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A3D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5379BC" w:rsidRPr="002270EF" w:rsidTr="00C05617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C05617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C05617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C05617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7,95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CA3DB1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очень удобно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487,5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9,75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 xml:space="preserve">Совершенно </w:t>
            </w:r>
            <w:proofErr w:type="gramStart"/>
            <w:r w:rsidRPr="002270EF">
              <w:rPr>
                <w:rFonts w:eastAsia="Calibri"/>
                <w:sz w:val="24"/>
                <w:szCs w:val="24"/>
              </w:rPr>
              <w:t>не удобно</w:t>
            </w:r>
            <w:proofErr w:type="gramEnd"/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138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4189" w:type="dxa"/>
            <w:shd w:val="clear" w:color="auto" w:fill="auto"/>
            <w:noWrap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</w:rPr>
              <w:t>Обеспечение воз</w:t>
            </w:r>
            <w:r w:rsidRPr="002270EF">
              <w:rPr>
                <w:sz w:val="24"/>
                <w:szCs w:val="24"/>
              </w:rPr>
              <w:softHyphen/>
              <w:t>можности для инва</w:t>
            </w:r>
            <w:r w:rsidRPr="002270EF">
              <w:rPr>
                <w:sz w:val="24"/>
                <w:szCs w:val="24"/>
              </w:rPr>
              <w:softHyphen/>
              <w:t>лидов посадки в транспортное сред</w:t>
            </w:r>
            <w:r w:rsidRPr="002270EF">
              <w:rPr>
                <w:sz w:val="24"/>
                <w:szCs w:val="24"/>
              </w:rPr>
              <w:softHyphen/>
              <w:t>ство и высадки из него перед входом в организацию куль</w:t>
            </w:r>
            <w:r w:rsidRPr="002270EF">
              <w:rPr>
                <w:sz w:val="24"/>
                <w:szCs w:val="24"/>
              </w:rPr>
              <w:softHyphen/>
              <w:t>туры, в том числе с использованием кресла-коляски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6,12</w:t>
            </w:r>
          </w:p>
        </w:tc>
      </w:tr>
      <w:tr w:rsidR="005379BC" w:rsidRPr="002270EF" w:rsidTr="00250275">
        <w:trPr>
          <w:trHeight w:val="2208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</w:rPr>
              <w:t>Оснащение органи</w:t>
            </w:r>
            <w:r w:rsidRPr="002270EF">
              <w:rPr>
                <w:sz w:val="24"/>
                <w:szCs w:val="24"/>
              </w:rPr>
              <w:softHyphen/>
              <w:t>зации специальными устройствами для доступа инвалидов (оборудование вход</w:t>
            </w:r>
            <w:r w:rsidRPr="002270EF">
              <w:rPr>
                <w:sz w:val="24"/>
                <w:szCs w:val="24"/>
              </w:rPr>
              <w:softHyphen/>
              <w:t>ных зон, раздвижные двери, приспособ</w:t>
            </w:r>
            <w:r w:rsidRPr="002270EF">
              <w:rPr>
                <w:sz w:val="24"/>
                <w:szCs w:val="24"/>
              </w:rPr>
              <w:softHyphen/>
              <w:t>ленные перила, до</w:t>
            </w:r>
            <w:r w:rsidRPr="002270EF">
              <w:rPr>
                <w:sz w:val="24"/>
                <w:szCs w:val="24"/>
              </w:rPr>
              <w:softHyphen/>
              <w:t>ступных санитарно-гигиенических по</w:t>
            </w:r>
            <w:r w:rsidRPr="002270EF">
              <w:rPr>
                <w:sz w:val="24"/>
                <w:szCs w:val="24"/>
              </w:rPr>
              <w:softHyphen/>
              <w:t>мещений, звуковые устройства для инва</w:t>
            </w:r>
            <w:r w:rsidRPr="002270EF">
              <w:rPr>
                <w:sz w:val="24"/>
                <w:szCs w:val="24"/>
              </w:rPr>
              <w:softHyphen/>
              <w:t>лидов по зрению и т.п.)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2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1204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</w:rPr>
              <w:t>Наличие сопровож</w:t>
            </w:r>
            <w:r w:rsidRPr="002270EF">
              <w:rPr>
                <w:sz w:val="24"/>
                <w:szCs w:val="24"/>
              </w:rPr>
              <w:softHyphen/>
              <w:t>дающего персонала и возможности само</w:t>
            </w:r>
            <w:r w:rsidRPr="002270EF">
              <w:rPr>
                <w:sz w:val="24"/>
                <w:szCs w:val="24"/>
              </w:rPr>
              <w:softHyphen/>
              <w:t>стоятельного пере</w:t>
            </w:r>
            <w:r w:rsidRPr="002270EF">
              <w:rPr>
                <w:sz w:val="24"/>
                <w:szCs w:val="24"/>
              </w:rPr>
              <w:softHyphen/>
              <w:t>движения по терри</w:t>
            </w:r>
            <w:r w:rsidRPr="002270EF">
              <w:rPr>
                <w:sz w:val="24"/>
                <w:szCs w:val="24"/>
              </w:rPr>
              <w:softHyphen/>
              <w:t>тории организации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2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noWrap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661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</w:rPr>
              <w:t>Компетентность работы персонала с посетителями-инва</w:t>
            </w:r>
            <w:r w:rsidRPr="002270EF">
              <w:rPr>
                <w:sz w:val="24"/>
                <w:szCs w:val="24"/>
              </w:rPr>
              <w:softHyphen/>
              <w:t>лидами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3036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</w:rPr>
              <w:t>Размещение инфор</w:t>
            </w:r>
            <w:r w:rsidRPr="002270EF">
              <w:rPr>
                <w:sz w:val="24"/>
                <w:szCs w:val="24"/>
              </w:rPr>
              <w:softHyphen/>
              <w:t>мации, необходимой для обеспечения беспрепятственного доступа инвалидов к учреждению и услу</w:t>
            </w:r>
            <w:r w:rsidRPr="002270EF">
              <w:rPr>
                <w:sz w:val="24"/>
                <w:szCs w:val="24"/>
              </w:rPr>
              <w:softHyphen/>
              <w:t>гам (дублирование необходимой для получения услуги звуковой и зритель</w:t>
            </w:r>
            <w:r w:rsidRPr="002270EF">
              <w:rPr>
                <w:sz w:val="24"/>
                <w:szCs w:val="24"/>
              </w:rPr>
              <w:softHyphen/>
              <w:t>ной информации, а также надписей, знаков и иной тек</w:t>
            </w:r>
            <w:r w:rsidRPr="002270EF">
              <w:rPr>
                <w:sz w:val="24"/>
                <w:szCs w:val="24"/>
              </w:rPr>
              <w:softHyphen/>
              <w:t>стовой и графиче</w:t>
            </w:r>
            <w:r w:rsidRPr="002270EF">
              <w:rPr>
                <w:sz w:val="24"/>
                <w:szCs w:val="24"/>
              </w:rPr>
              <w:softHyphen/>
              <w:t>ской информации знаками, выполнен</w:t>
            </w:r>
            <w:r w:rsidRPr="002270EF">
              <w:rPr>
                <w:sz w:val="24"/>
                <w:szCs w:val="24"/>
              </w:rPr>
              <w:softHyphen/>
              <w:t>ными рельефно-точечным шрифтом Брайля и на кон</w:t>
            </w:r>
            <w:r w:rsidRPr="002270EF">
              <w:rPr>
                <w:sz w:val="24"/>
                <w:szCs w:val="24"/>
              </w:rPr>
              <w:softHyphen/>
              <w:t>трастном фоне)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477,5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9,55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нару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шений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соблюдается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477,5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9,55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 xml:space="preserve">Удовлетворительно, незначительные </w:t>
            </w:r>
            <w:r w:rsidRPr="002270EF">
              <w:rPr>
                <w:rFonts w:eastAsia="Calibri"/>
                <w:sz w:val="24"/>
                <w:szCs w:val="24"/>
              </w:rPr>
              <w:lastRenderedPageBreak/>
              <w:t>нарушения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нару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шений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соблюдаются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9,45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477,5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9,55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Отлично, все устраи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Плохо, много недо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rFonts w:eastAsia="Calibri"/>
                <w:sz w:val="24"/>
                <w:szCs w:val="24"/>
              </w:rPr>
              <w:t>Неудовлетвори</w:t>
            </w:r>
            <w:r w:rsidRPr="002270EF">
              <w:rPr>
                <w:rFonts w:eastAsia="Calibri"/>
                <w:sz w:val="24"/>
                <w:szCs w:val="24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color w:val="000000"/>
                <w:sz w:val="24"/>
                <w:szCs w:val="24"/>
                <w:lang w:eastAsia="ru-RU"/>
              </w:rPr>
              <w:t>Отлично, все устраи</w:t>
            </w:r>
            <w:r w:rsidRPr="002270EF">
              <w:rPr>
                <w:color w:val="000000"/>
                <w:sz w:val="24"/>
                <w:szCs w:val="24"/>
                <w:lang w:eastAsia="ru-RU"/>
              </w:rPr>
              <w:softHyphen/>
              <w:t>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 w:rsidR="005379BC" w:rsidRPr="002270EF" w:rsidRDefault="00927F54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Cs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8E6CEC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iCs/>
                <w:color w:val="000000"/>
                <w:sz w:val="24"/>
                <w:szCs w:val="24"/>
                <w:lang w:eastAsia="ru-RU"/>
              </w:rPr>
              <w:t>Плохо, много недо</w:t>
            </w:r>
            <w:r w:rsidRPr="002270EF">
              <w:rPr>
                <w:iCs/>
                <w:color w:val="000000"/>
                <w:sz w:val="24"/>
                <w:szCs w:val="24"/>
                <w:lang w:eastAsia="ru-RU"/>
              </w:rPr>
              <w:softHyphen/>
              <w:t>статков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379BC" w:rsidRPr="002270EF" w:rsidTr="0025027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shd w:val="clear" w:color="auto" w:fill="auto"/>
            <w:vAlign w:val="center"/>
            <w:hideMark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noWrap/>
            <w:vAlign w:val="center"/>
            <w:hideMark/>
          </w:tcPr>
          <w:p w:rsidR="005379BC" w:rsidRPr="002270EF" w:rsidRDefault="005379BC" w:rsidP="00250275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2270EF">
              <w:rPr>
                <w:color w:val="000000"/>
                <w:sz w:val="24"/>
                <w:szCs w:val="24"/>
                <w:lang w:eastAsia="ru-RU"/>
              </w:rPr>
              <w:t>Неудовлетвори</w:t>
            </w:r>
            <w:r w:rsidRPr="002270EF">
              <w:rPr>
                <w:color w:val="000000"/>
                <w:sz w:val="24"/>
                <w:szCs w:val="24"/>
                <w:lang w:eastAsia="ru-RU"/>
              </w:rPr>
              <w:softHyphen/>
              <w:t>тельно, совершенно не устраивает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5379BC" w:rsidRPr="002270EF" w:rsidRDefault="004F5D96" w:rsidP="002502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379BC" w:rsidRPr="002270EF" w:rsidRDefault="005379BC" w:rsidP="002502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79BC" w:rsidRPr="002270EF" w:rsidRDefault="005379BC" w:rsidP="005379BC">
      <w:pPr>
        <w:spacing w:line="276" w:lineRule="auto"/>
        <w:ind w:firstLine="708"/>
        <w:jc w:val="both"/>
        <w:rPr>
          <w:sz w:val="24"/>
          <w:szCs w:val="24"/>
        </w:rPr>
      </w:pPr>
    </w:p>
    <w:p w:rsidR="00002A6A" w:rsidRDefault="00002A6A" w:rsidP="005379BC">
      <w:pPr>
        <w:spacing w:line="276" w:lineRule="auto"/>
        <w:ind w:firstLine="708"/>
        <w:jc w:val="both"/>
        <w:rPr>
          <w:sz w:val="24"/>
          <w:szCs w:val="24"/>
        </w:rPr>
      </w:pPr>
    </w:p>
    <w:p w:rsidR="00002A6A" w:rsidRPr="00002A6A" w:rsidRDefault="00002A6A" w:rsidP="005379BC">
      <w:pPr>
        <w:spacing w:line="276" w:lineRule="auto"/>
        <w:jc w:val="both"/>
        <w:rPr>
          <w:sz w:val="28"/>
          <w:szCs w:val="24"/>
        </w:rPr>
      </w:pPr>
      <w:r w:rsidRPr="00002A6A">
        <w:rPr>
          <w:sz w:val="28"/>
          <w:szCs w:val="24"/>
        </w:rPr>
        <w:t xml:space="preserve">          Директор МКУК «СДК</w:t>
      </w:r>
    </w:p>
    <w:p w:rsidR="005379BC" w:rsidRPr="00002A6A" w:rsidRDefault="00002A6A" w:rsidP="005379BC">
      <w:pPr>
        <w:spacing w:line="276" w:lineRule="auto"/>
        <w:jc w:val="both"/>
        <w:rPr>
          <w:sz w:val="28"/>
          <w:szCs w:val="24"/>
        </w:rPr>
      </w:pPr>
      <w:r w:rsidRPr="00002A6A">
        <w:rPr>
          <w:sz w:val="28"/>
          <w:szCs w:val="24"/>
        </w:rPr>
        <w:t xml:space="preserve">           Новорождественского СПТР»                                                                                                        </w:t>
      </w:r>
      <w:r>
        <w:rPr>
          <w:sz w:val="28"/>
          <w:szCs w:val="24"/>
        </w:rPr>
        <w:t xml:space="preserve">             </w:t>
      </w:r>
      <w:r w:rsidRPr="00002A6A">
        <w:rPr>
          <w:sz w:val="28"/>
          <w:szCs w:val="24"/>
        </w:rPr>
        <w:t xml:space="preserve">О.Н. Сафонова </w:t>
      </w:r>
    </w:p>
    <w:p w:rsidR="00002A6A" w:rsidRPr="00002A6A" w:rsidRDefault="00002A6A" w:rsidP="005379BC">
      <w:pPr>
        <w:spacing w:line="276" w:lineRule="auto"/>
        <w:jc w:val="both"/>
        <w:rPr>
          <w:sz w:val="28"/>
          <w:szCs w:val="24"/>
        </w:rPr>
      </w:pPr>
      <w:r w:rsidRPr="00002A6A">
        <w:rPr>
          <w:sz w:val="28"/>
          <w:szCs w:val="24"/>
        </w:rPr>
        <w:t xml:space="preserve">            </w:t>
      </w:r>
    </w:p>
    <w:p w:rsidR="005379BC" w:rsidRPr="002270EF" w:rsidRDefault="005379BC" w:rsidP="005379BC">
      <w:pPr>
        <w:rPr>
          <w:sz w:val="24"/>
          <w:szCs w:val="24"/>
        </w:rPr>
      </w:pPr>
    </w:p>
    <w:p w:rsidR="005379BC" w:rsidRPr="002270EF" w:rsidRDefault="005379BC" w:rsidP="005379BC">
      <w:pPr>
        <w:rPr>
          <w:sz w:val="24"/>
          <w:szCs w:val="24"/>
        </w:rPr>
      </w:pPr>
    </w:p>
    <w:p w:rsidR="00002A6A" w:rsidRDefault="00002A6A" w:rsidP="00002A6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002A6A" w:rsidRPr="002270EF" w:rsidRDefault="00002A6A" w:rsidP="00002A6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Сеина Елена Александровна</w:t>
      </w:r>
    </w:p>
    <w:p w:rsidR="00002A6A" w:rsidRPr="002270EF" w:rsidRDefault="00002A6A" w:rsidP="00002A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46-1-47</w:t>
      </w:r>
    </w:p>
    <w:p w:rsidR="00FC6986" w:rsidRDefault="00FC6986"/>
    <w:sectPr w:rsidR="00FC6986" w:rsidSect="00410D82">
      <w:footerReference w:type="default" r:id="rId8"/>
      <w:pgSz w:w="16838" w:h="11906" w:orient="landscape" w:code="9"/>
      <w:pgMar w:top="85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92" w:rsidRDefault="00880292">
      <w:r>
        <w:separator/>
      </w:r>
    </w:p>
  </w:endnote>
  <w:endnote w:type="continuationSeparator" w:id="0">
    <w:p w:rsidR="00880292" w:rsidRDefault="008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96665"/>
      <w:docPartObj>
        <w:docPartGallery w:val="Page Numbers (Bottom of Page)"/>
        <w:docPartUnique/>
      </w:docPartObj>
    </w:sdtPr>
    <w:sdtEndPr/>
    <w:sdtContent>
      <w:p w:rsidR="00410D82" w:rsidRDefault="005379B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DA">
          <w:rPr>
            <w:noProof/>
          </w:rPr>
          <w:t>1</w:t>
        </w:r>
        <w:r>
          <w:fldChar w:fldCharType="end"/>
        </w:r>
      </w:p>
    </w:sdtContent>
  </w:sdt>
  <w:p w:rsidR="001F3118" w:rsidRDefault="008802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92" w:rsidRDefault="00880292">
      <w:r>
        <w:separator/>
      </w:r>
    </w:p>
  </w:footnote>
  <w:footnote w:type="continuationSeparator" w:id="0">
    <w:p w:rsidR="00880292" w:rsidRDefault="0088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81"/>
    <w:rsid w:val="00002A6A"/>
    <w:rsid w:val="002C1F22"/>
    <w:rsid w:val="00453530"/>
    <w:rsid w:val="004F5D96"/>
    <w:rsid w:val="005379BC"/>
    <w:rsid w:val="005F27DA"/>
    <w:rsid w:val="00611D81"/>
    <w:rsid w:val="00880292"/>
    <w:rsid w:val="008E6CEC"/>
    <w:rsid w:val="00927F54"/>
    <w:rsid w:val="00A11B20"/>
    <w:rsid w:val="00B6624D"/>
    <w:rsid w:val="00C05617"/>
    <w:rsid w:val="00CA3DB1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79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7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2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79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7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2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2937-F1CF-4BFA-8FAF-934919E8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2018-05-10T12:32:00Z</cp:lastPrinted>
  <dcterms:created xsi:type="dcterms:W3CDTF">2017-08-23T10:28:00Z</dcterms:created>
  <dcterms:modified xsi:type="dcterms:W3CDTF">2018-05-10T12:32:00Z</dcterms:modified>
</cp:coreProperties>
</file>